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36" w:rsidRPr="002B6FB0" w:rsidRDefault="00191636" w:rsidP="00191636">
      <w:pPr>
        <w:pStyle w:val="separator"/>
        <w:spacing w:before="0" w:beforeAutospacing="0" w:after="0" w:afterAutospacing="0"/>
        <w:rPr>
          <w:rFonts w:asciiTheme="minorHAnsi" w:hAnsiTheme="minorHAnsi"/>
          <w:b/>
        </w:rPr>
      </w:pPr>
      <w:r w:rsidRPr="002B6FB0">
        <w:rPr>
          <w:rFonts w:asciiTheme="minorHAnsi" w:hAnsiTheme="minorHAnsi"/>
          <w:b/>
        </w:rPr>
        <w:t>Household Income</w:t>
      </w:r>
      <w:r w:rsidR="004C4112">
        <w:rPr>
          <w:rFonts w:asciiTheme="minorHAnsi" w:hAnsiTheme="minorHAnsi"/>
          <w:b/>
        </w:rPr>
        <w:t xml:space="preserve"> for Project Reinvest</w:t>
      </w:r>
      <w:bookmarkStart w:id="0" w:name="_GoBack"/>
      <w:bookmarkEnd w:id="0"/>
    </w:p>
    <w:p w:rsidR="00191636" w:rsidRDefault="00191636" w:rsidP="00191636">
      <w:pPr>
        <w:pStyle w:val="separator"/>
        <w:spacing w:before="0" w:beforeAutospacing="0" w:after="0" w:afterAutospacing="0"/>
        <w:rPr>
          <w:rFonts w:asciiTheme="minorHAnsi" w:hAnsiTheme="minorHAnsi"/>
        </w:rPr>
      </w:pPr>
    </w:p>
    <w:p w:rsidR="00191636" w:rsidRPr="00C03EA6" w:rsidRDefault="00191636" w:rsidP="00191636">
      <w:pPr>
        <w:pStyle w:val="separator"/>
        <w:spacing w:before="0" w:beforeAutospacing="0" w:after="0" w:afterAutospacing="0"/>
        <w:rPr>
          <w:rFonts w:asciiTheme="minorHAnsi" w:hAnsiTheme="minorHAnsi"/>
          <w:i/>
        </w:rPr>
      </w:pPr>
      <w:r>
        <w:rPr>
          <w:rFonts w:asciiTheme="minorHAnsi" w:hAnsiTheme="minorHAnsi"/>
        </w:rPr>
        <w:t xml:space="preserve">Numerous incentive programs require income verification with a maximum allowed income for eligibility.  The Project Reinvest program allows participants with a household income up to </w:t>
      </w:r>
      <w:r>
        <w:rPr>
          <w:rFonts w:asciiTheme="minorHAnsi" w:hAnsiTheme="minorHAnsi"/>
          <w:b/>
        </w:rPr>
        <w:t>100%</w:t>
      </w:r>
      <w:r>
        <w:rPr>
          <w:rFonts w:asciiTheme="minorHAnsi" w:hAnsiTheme="minorHAnsi"/>
        </w:rPr>
        <w:t xml:space="preserve"> of the Area Medium Income for 50 awards and the other 250 awards have income limits of </w:t>
      </w:r>
      <w:r w:rsidRPr="00191636">
        <w:rPr>
          <w:rFonts w:asciiTheme="minorHAnsi" w:hAnsiTheme="minorHAnsi"/>
          <w:b/>
        </w:rPr>
        <w:t>80%</w:t>
      </w:r>
      <w:r>
        <w:rPr>
          <w:rFonts w:asciiTheme="minorHAnsi" w:hAnsiTheme="minorHAnsi"/>
        </w:rPr>
        <w:t xml:space="preserve">.  Other incentive programs have different thresholds.  To calculate the income, the total income for everyone who will be living in the home is used.  The household size includes every person who will be living in the house.  Eligibility for Project Reinvest will be determined by NHS at the eligibility appointment using the income allowances in the chart below.    </w:t>
      </w:r>
    </w:p>
    <w:p w:rsidR="00191636" w:rsidRPr="00C03EA6" w:rsidRDefault="00191636" w:rsidP="00191636">
      <w:pPr>
        <w:rPr>
          <w:i/>
        </w:rPr>
      </w:pPr>
    </w:p>
    <w:p w:rsidR="00191636" w:rsidRDefault="00191636" w:rsidP="00191636">
      <w:pPr>
        <w:pStyle w:val="separator"/>
        <w:spacing w:before="0" w:beforeAutospacing="0" w:after="0" w:afterAutospacing="0"/>
        <w:rPr>
          <w:rFonts w:asciiTheme="minorHAnsi" w:hAnsiTheme="minorHAnsi"/>
        </w:rPr>
      </w:pPr>
    </w:p>
    <w:tbl>
      <w:tblPr>
        <w:tblW w:w="5660" w:type="dxa"/>
        <w:jc w:val="center"/>
        <w:tblLook w:val="04A0" w:firstRow="1" w:lastRow="0" w:firstColumn="1" w:lastColumn="0" w:noHBand="0" w:noVBand="1"/>
      </w:tblPr>
      <w:tblGrid>
        <w:gridCol w:w="2144"/>
        <w:gridCol w:w="1718"/>
        <w:gridCol w:w="1798"/>
      </w:tblGrid>
      <w:tr w:rsidR="00191636" w:rsidRPr="00432613" w:rsidTr="004F1ED2">
        <w:trPr>
          <w:trHeight w:val="705"/>
          <w:jc w:val="center"/>
        </w:trPr>
        <w:tc>
          <w:tcPr>
            <w:tcW w:w="5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91636" w:rsidRPr="00432613" w:rsidRDefault="00191636" w:rsidP="004F1ED2">
            <w:pPr>
              <w:spacing w:after="0" w:line="240" w:lineRule="auto"/>
              <w:jc w:val="center"/>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Baltimore-Towson, MD HUD Metro Area</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Household size</w:t>
            </w:r>
          </w:p>
        </w:tc>
        <w:tc>
          <w:tcPr>
            <w:tcW w:w="171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F1ED2">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F1ED2">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1 Person</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w:t>
            </w:r>
            <w:r w:rsidR="004C4112">
              <w:rPr>
                <w:rFonts w:ascii="Arial" w:eastAsia="Times New Roman" w:hAnsi="Arial" w:cs="Arial"/>
                <w:color w:val="000000"/>
                <w:sz w:val="20"/>
                <w:szCs w:val="20"/>
              </w:rPr>
              <w:t>72,800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54,950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2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w:t>
            </w:r>
            <w:r w:rsidR="004C4112">
              <w:rPr>
                <w:rFonts w:ascii="Arial" w:eastAsia="Times New Roman" w:hAnsi="Arial" w:cs="Arial"/>
                <w:color w:val="000000"/>
                <w:sz w:val="20"/>
                <w:szCs w:val="20"/>
              </w:rPr>
              <w:t>83,200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62,800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3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93,600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70,650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4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$10</w:t>
            </w:r>
            <w:r w:rsidR="004C4112">
              <w:rPr>
                <w:rFonts w:ascii="Arial" w:eastAsia="Times New Roman" w:hAnsi="Arial" w:cs="Arial"/>
                <w:color w:val="000000"/>
                <w:sz w:val="20"/>
                <w:szCs w:val="20"/>
              </w:rPr>
              <w:t>4</w:t>
            </w:r>
            <w:r>
              <w:rPr>
                <w:rFonts w:ascii="Arial" w:eastAsia="Times New Roman" w:hAnsi="Arial" w:cs="Arial"/>
                <w:color w:val="000000"/>
                <w:sz w:val="20"/>
                <w:szCs w:val="20"/>
              </w:rPr>
              <w:t>,</w:t>
            </w:r>
            <w:r w:rsidRPr="004F1ED2">
              <w:rPr>
                <w:rFonts w:ascii="Arial" w:eastAsia="Times New Roman" w:hAnsi="Arial" w:cs="Arial"/>
                <w:color w:val="000000"/>
                <w:sz w:val="20"/>
                <w:szCs w:val="20"/>
              </w:rPr>
              <w:t>000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78</w:t>
            </w:r>
            <w:r>
              <w:rPr>
                <w:rFonts w:ascii="Arial" w:eastAsia="Times New Roman" w:hAnsi="Arial" w:cs="Arial"/>
                <w:color w:val="000000"/>
                <w:sz w:val="20"/>
                <w:szCs w:val="20"/>
              </w:rPr>
              <w:t>,500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5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w:t>
            </w:r>
            <w:r w:rsidR="004C4112">
              <w:rPr>
                <w:rFonts w:ascii="Arial" w:eastAsia="Times New Roman" w:hAnsi="Arial" w:cs="Arial"/>
                <w:color w:val="000000"/>
                <w:sz w:val="20"/>
                <w:szCs w:val="20"/>
              </w:rPr>
              <w:t>112,350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84,800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6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w:t>
            </w:r>
            <w:r w:rsidR="004C4112">
              <w:rPr>
                <w:rFonts w:ascii="Arial" w:eastAsia="Times New Roman" w:hAnsi="Arial" w:cs="Arial"/>
                <w:color w:val="000000"/>
                <w:sz w:val="20"/>
                <w:szCs w:val="20"/>
              </w:rPr>
              <w:t>120,650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91,100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7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w:t>
            </w:r>
            <w:r w:rsidR="004C4112">
              <w:rPr>
                <w:rFonts w:ascii="Arial" w:eastAsia="Times New Roman" w:hAnsi="Arial" w:cs="Arial"/>
                <w:color w:val="000000"/>
                <w:sz w:val="20"/>
                <w:szCs w:val="20"/>
              </w:rPr>
              <w:t>129,000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97,350</w:t>
            </w:r>
          </w:p>
        </w:tc>
      </w:tr>
      <w:tr w:rsidR="00191636" w:rsidRPr="00432613" w:rsidTr="004F1ED2">
        <w:trPr>
          <w:trHeight w:val="315"/>
          <w:jc w:val="center"/>
        </w:trPr>
        <w:tc>
          <w:tcPr>
            <w:tcW w:w="2144" w:type="dxa"/>
            <w:tcBorders>
              <w:top w:val="nil"/>
              <w:left w:val="single" w:sz="8" w:space="0" w:color="auto"/>
              <w:bottom w:val="single" w:sz="8" w:space="0" w:color="auto"/>
              <w:right w:val="single" w:sz="8" w:space="0" w:color="auto"/>
            </w:tcBorders>
            <w:shd w:val="clear" w:color="auto" w:fill="auto"/>
            <w:noWrap/>
            <w:vAlign w:val="center"/>
            <w:hideMark/>
          </w:tcPr>
          <w:p w:rsidR="00191636" w:rsidRPr="00432613" w:rsidRDefault="00191636" w:rsidP="004F1ED2">
            <w:pPr>
              <w:spacing w:after="0" w:line="240" w:lineRule="auto"/>
              <w:rPr>
                <w:rFonts w:ascii="Arial" w:eastAsia="Times New Roman" w:hAnsi="Arial" w:cs="Arial"/>
                <w:b/>
                <w:bCs/>
                <w:color w:val="000000"/>
                <w:sz w:val="20"/>
                <w:szCs w:val="20"/>
              </w:rPr>
            </w:pPr>
            <w:r w:rsidRPr="00432613">
              <w:rPr>
                <w:rFonts w:ascii="Arial" w:eastAsia="Times New Roman" w:hAnsi="Arial" w:cs="Arial"/>
                <w:b/>
                <w:bCs/>
                <w:color w:val="000000"/>
                <w:sz w:val="20"/>
                <w:szCs w:val="20"/>
              </w:rPr>
              <w:t>8 People</w:t>
            </w:r>
          </w:p>
        </w:tc>
        <w:tc>
          <w:tcPr>
            <w:tcW w:w="1718" w:type="dxa"/>
            <w:tcBorders>
              <w:top w:val="nil"/>
              <w:left w:val="nil"/>
              <w:bottom w:val="single" w:sz="8" w:space="0" w:color="auto"/>
              <w:right w:val="single" w:sz="8" w:space="0" w:color="auto"/>
            </w:tcBorders>
            <w:shd w:val="clear" w:color="auto" w:fill="auto"/>
            <w:noWrap/>
            <w:vAlign w:val="center"/>
          </w:tcPr>
          <w:p w:rsidR="00191636" w:rsidRPr="004F1ED2" w:rsidRDefault="00191636" w:rsidP="004C4112">
            <w:pPr>
              <w:spacing w:after="0" w:line="240" w:lineRule="auto"/>
              <w:jc w:val="right"/>
              <w:rPr>
                <w:rFonts w:ascii="Arial" w:eastAsia="Times New Roman" w:hAnsi="Arial" w:cs="Arial"/>
                <w:color w:val="000000"/>
                <w:sz w:val="20"/>
                <w:szCs w:val="20"/>
              </w:rPr>
            </w:pPr>
            <w:r w:rsidRPr="004F1ED2">
              <w:rPr>
                <w:rFonts w:ascii="Arial" w:eastAsia="Times New Roman" w:hAnsi="Arial" w:cs="Arial"/>
                <w:color w:val="000000"/>
                <w:sz w:val="20"/>
                <w:szCs w:val="20"/>
              </w:rPr>
              <w:t>$</w:t>
            </w:r>
            <w:r w:rsidR="004C4112">
              <w:rPr>
                <w:rFonts w:ascii="Arial" w:eastAsia="Times New Roman" w:hAnsi="Arial" w:cs="Arial"/>
                <w:color w:val="000000"/>
                <w:sz w:val="20"/>
                <w:szCs w:val="20"/>
              </w:rPr>
              <w:t>137,300</w:t>
            </w:r>
          </w:p>
        </w:tc>
        <w:tc>
          <w:tcPr>
            <w:tcW w:w="1798" w:type="dxa"/>
            <w:tcBorders>
              <w:top w:val="nil"/>
              <w:left w:val="nil"/>
              <w:bottom w:val="single" w:sz="8" w:space="0" w:color="auto"/>
              <w:right w:val="single" w:sz="8" w:space="0" w:color="auto"/>
            </w:tcBorders>
            <w:shd w:val="clear" w:color="auto" w:fill="auto"/>
            <w:noWrap/>
            <w:vAlign w:val="center"/>
          </w:tcPr>
          <w:p w:rsidR="00191636" w:rsidRPr="00432613" w:rsidRDefault="00191636" w:rsidP="004C411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4C4112">
              <w:rPr>
                <w:rFonts w:ascii="Arial" w:eastAsia="Times New Roman" w:hAnsi="Arial" w:cs="Arial"/>
                <w:color w:val="000000"/>
                <w:sz w:val="20"/>
                <w:szCs w:val="20"/>
              </w:rPr>
              <w:t>103,650</w:t>
            </w:r>
          </w:p>
        </w:tc>
      </w:tr>
      <w:tr w:rsidR="00191636" w:rsidRPr="00432613" w:rsidTr="004F1ED2">
        <w:trPr>
          <w:trHeight w:val="1935"/>
          <w:jc w:val="center"/>
        </w:trPr>
        <w:tc>
          <w:tcPr>
            <w:tcW w:w="5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91636" w:rsidRPr="00432613" w:rsidRDefault="00191636" w:rsidP="004F1ED2">
            <w:pPr>
              <w:spacing w:after="0" w:line="240" w:lineRule="auto"/>
              <w:rPr>
                <w:rFonts w:ascii="Arial" w:eastAsia="Times New Roman" w:hAnsi="Arial" w:cs="Arial"/>
                <w:color w:val="000000"/>
                <w:sz w:val="20"/>
                <w:szCs w:val="20"/>
              </w:rPr>
            </w:pPr>
            <w:r w:rsidRPr="00432613">
              <w:rPr>
                <w:rFonts w:ascii="Arial" w:eastAsia="Times New Roman" w:hAnsi="Arial" w:cs="Arial"/>
                <w:color w:val="000000"/>
                <w:sz w:val="20"/>
                <w:szCs w:val="20"/>
              </w:rPr>
              <w:t xml:space="preserve">The </w:t>
            </w:r>
            <w:r w:rsidRPr="00432613">
              <w:rPr>
                <w:rFonts w:ascii="Arial" w:eastAsia="Times New Roman" w:hAnsi="Arial" w:cs="Arial"/>
                <w:b/>
                <w:bCs/>
                <w:color w:val="000000"/>
                <w:sz w:val="20"/>
                <w:szCs w:val="20"/>
              </w:rPr>
              <w:t>Baltimore-Towson, MD HUD Metro Area</w:t>
            </w:r>
            <w:r w:rsidRPr="00432613">
              <w:rPr>
                <w:rFonts w:ascii="Arial" w:eastAsia="Times New Roman" w:hAnsi="Arial" w:cs="Arial"/>
                <w:color w:val="000000"/>
                <w:sz w:val="20"/>
                <w:szCs w:val="20"/>
              </w:rPr>
              <w:t xml:space="preserve"> contains the following areas: Anne Arundel County, MD ; Baltimore County, MD ; Carroll County, MD ; Harford County, MD ; Howard County, MD ; Queen Anne's County, MD ; and Baltimore city, MD .</w:t>
            </w:r>
          </w:p>
        </w:tc>
      </w:tr>
    </w:tbl>
    <w:p w:rsidR="003A35A2" w:rsidRDefault="003A35A2"/>
    <w:sectPr w:rsidR="003A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36"/>
    <w:rsid w:val="00191636"/>
    <w:rsid w:val="003A35A2"/>
    <w:rsid w:val="004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8096-83A0-45A4-BB05-7BEF0B86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191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Semans</dc:creator>
  <cp:keywords/>
  <dc:description/>
  <cp:lastModifiedBy>Cathy Semans</cp:lastModifiedBy>
  <cp:revision>2</cp:revision>
  <dcterms:created xsi:type="dcterms:W3CDTF">2020-02-03T16:18:00Z</dcterms:created>
  <dcterms:modified xsi:type="dcterms:W3CDTF">2020-04-14T20:18:00Z</dcterms:modified>
</cp:coreProperties>
</file>